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9D" w:rsidRPr="00C22F9D" w:rsidRDefault="00C22F9D" w:rsidP="00C22F9D">
      <w:pPr>
        <w:pStyle w:val="a4"/>
        <w:rPr>
          <w:rFonts w:asciiTheme="minorHAnsi" w:hAnsiTheme="minorHAnsi" w:cstheme="minorHAnsi"/>
          <w:color w:val="646464"/>
          <w:sz w:val="28"/>
          <w:szCs w:val="28"/>
        </w:rPr>
      </w:pPr>
      <w:r w:rsidRPr="00C22F9D">
        <w:rPr>
          <w:rFonts w:asciiTheme="minorHAnsi" w:hAnsiTheme="minorHAnsi" w:cstheme="minorHAnsi"/>
          <w:b/>
          <w:sz w:val="28"/>
          <w:szCs w:val="28"/>
        </w:rPr>
        <w:t xml:space="preserve">Краткая характеристика эпохи, личности и деятельности Владимира Мономаха. Источники сведений о князе и их специфика. </w:t>
      </w:r>
      <w:r>
        <w:rPr>
          <w:rFonts w:asciiTheme="minorHAnsi" w:hAnsiTheme="minorHAnsi" w:cstheme="minorHAnsi"/>
          <w:b/>
          <w:sz w:val="28"/>
          <w:szCs w:val="28"/>
        </w:rPr>
        <w:t>П</w:t>
      </w:r>
      <w:r w:rsidRPr="00C22F9D">
        <w:rPr>
          <w:rStyle w:val="a5"/>
          <w:rFonts w:asciiTheme="minorHAnsi" w:hAnsiTheme="minorHAnsi" w:cstheme="minorHAnsi"/>
          <w:color w:val="646464"/>
          <w:sz w:val="28"/>
          <w:szCs w:val="28"/>
        </w:rPr>
        <w:t>равление в Киеве Владимира Мономаха (1113–1125) – последний этап существования Киевской Руси, последний подъем ее могущества и значимости на международной арене.</w:t>
      </w:r>
    </w:p>
    <w:p w:rsidR="00C22F9D" w:rsidRPr="00C22F9D" w:rsidRDefault="00C22F9D" w:rsidP="00C22F9D">
      <w:pPr>
        <w:pStyle w:val="a4"/>
        <w:rPr>
          <w:rFonts w:asciiTheme="minorHAnsi" w:hAnsiTheme="minorHAnsi" w:cstheme="minorHAnsi"/>
          <w:color w:val="646464"/>
          <w:sz w:val="28"/>
          <w:szCs w:val="28"/>
        </w:rPr>
      </w:pPr>
      <w:r w:rsidRPr="00C22F9D">
        <w:rPr>
          <w:rFonts w:asciiTheme="minorHAnsi" w:hAnsiTheme="minorHAnsi" w:cstheme="minorHAnsi"/>
          <w:color w:val="646464"/>
          <w:sz w:val="28"/>
          <w:szCs w:val="28"/>
        </w:rPr>
        <w:t xml:space="preserve">Великий киевский князь Святополк скончался 16 апреля 1113 г. Ситуация с наследованием трона была крайне сложной. Сформировалось три группировки. В первую входили дети умершего правителя, которые претендовали на власть по праву наследников. Вторую составляли сторонники принципа передачи престола старейшему Рюриковичу. Однако в 1113 </w:t>
      </w:r>
      <w:proofErr w:type="gramStart"/>
      <w:r w:rsidRPr="00C22F9D">
        <w:rPr>
          <w:rFonts w:asciiTheme="minorHAnsi" w:hAnsiTheme="minorHAnsi" w:cstheme="minorHAnsi"/>
          <w:color w:val="646464"/>
          <w:sz w:val="28"/>
          <w:szCs w:val="28"/>
        </w:rPr>
        <w:t>г .</w:t>
      </w:r>
      <w:proofErr w:type="gramEnd"/>
      <w:r w:rsidRPr="00C22F9D">
        <w:rPr>
          <w:rFonts w:asciiTheme="minorHAnsi" w:hAnsiTheme="minorHAnsi" w:cstheme="minorHAnsi"/>
          <w:color w:val="646464"/>
          <w:sz w:val="28"/>
          <w:szCs w:val="28"/>
        </w:rPr>
        <w:t xml:space="preserve"> таковым являлся Олег "</w:t>
      </w:r>
      <w:proofErr w:type="spellStart"/>
      <w:r w:rsidRPr="00C22F9D">
        <w:rPr>
          <w:rFonts w:asciiTheme="minorHAnsi" w:hAnsiTheme="minorHAnsi" w:cstheme="minorHAnsi"/>
          <w:color w:val="646464"/>
          <w:sz w:val="28"/>
          <w:szCs w:val="28"/>
        </w:rPr>
        <w:t>Гориславич</w:t>
      </w:r>
      <w:proofErr w:type="spellEnd"/>
      <w:r w:rsidRPr="00C22F9D">
        <w:rPr>
          <w:rFonts w:asciiTheme="minorHAnsi" w:hAnsiTheme="minorHAnsi" w:cstheme="minorHAnsi"/>
          <w:color w:val="646464"/>
          <w:sz w:val="28"/>
          <w:szCs w:val="28"/>
        </w:rPr>
        <w:t>", а передача власти человеку со стойкой репутацией клятвопреступника и крамольника не нашла бы понимания у других князей и не прибавила бы авторитета киевскому престолу. Многие поддерживали кандидатуру наиболее авторитетного князя с высокой полководческой и политической репутацией – Владимира Мономаха. </w:t>
      </w:r>
      <w:r>
        <w:rPr>
          <w:rFonts w:ascii="Arial" w:hAnsi="Arial" w:cs="Arial"/>
          <w:color w:val="646464"/>
          <w:sz w:val="23"/>
          <w:szCs w:val="23"/>
        </w:rPr>
        <w:t xml:space="preserve">Владимир Мономах начал с укрепления власти киевского князя: он оставил за собой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Переяславль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, Ростово-Суздальскую землю и Туров, тем самым сосредоточив в своих руках большие ресурсы, позволявшие уверенно занимать киевский стол. Его сыновья контролировали другие ключевые центры: Мстислав – Новгород, а Вячеслав – Смоленск. Владимир Мономах сумел достичь соглашений с остальными князьями: по меткому замечанию Б. Д.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Грекова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, не нарушая принципа </w:t>
      </w:r>
      <w:proofErr w:type="spellStart"/>
      <w:r>
        <w:rPr>
          <w:rFonts w:ascii="Arial" w:hAnsi="Arial" w:cs="Arial"/>
          <w:color w:val="646464"/>
          <w:sz w:val="23"/>
          <w:szCs w:val="23"/>
        </w:rPr>
        <w:t>Любечского</w:t>
      </w:r>
      <w:proofErr w:type="spellEnd"/>
      <w:r>
        <w:rPr>
          <w:rFonts w:ascii="Arial" w:hAnsi="Arial" w:cs="Arial"/>
          <w:color w:val="646464"/>
          <w:sz w:val="23"/>
          <w:szCs w:val="23"/>
        </w:rPr>
        <w:t xml:space="preserve"> съезда "каждый да держит вотчину свою", Мономах тем не менее фактически подчинил их всех своей воле. При этом Киев выступал высшей инстанцией, не допускавшей усобиц.</w:t>
      </w:r>
      <w:r>
        <w:rPr>
          <w:rFonts w:ascii="Arial" w:hAnsi="Arial" w:cs="Arial"/>
          <w:color w:val="646464"/>
          <w:sz w:val="23"/>
          <w:szCs w:val="23"/>
        </w:rPr>
        <w:t xml:space="preserve"> ЛЕТОПИСЬ И ПОУЧЕНИЕ СОВПАДЕНИЕ!</w:t>
      </w:r>
    </w:p>
    <w:p w:rsidR="00C22F9D" w:rsidRDefault="00C22F9D" w:rsidP="00C22F9D">
      <w:pPr>
        <w:spacing w:after="60" w:line="360" w:lineRule="auto"/>
        <w:ind w:right="794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Общее и различное в изображении Владимира Мономаха в летописной «Повести об ослеплении Василька </w:t>
      </w:r>
      <w:proofErr w:type="spellStart"/>
      <w:r w:rsidRPr="00C22F9D">
        <w:rPr>
          <w:rFonts w:eastAsia="Times New Roman" w:cstheme="minorHAnsi"/>
          <w:b/>
          <w:sz w:val="28"/>
          <w:szCs w:val="28"/>
          <w:lang w:eastAsia="ru-RU"/>
        </w:rPr>
        <w:t>Тер</w:t>
      </w:r>
      <w:r>
        <w:rPr>
          <w:rFonts w:eastAsia="Times New Roman" w:cstheme="minorHAnsi"/>
          <w:b/>
          <w:sz w:val="28"/>
          <w:szCs w:val="28"/>
          <w:lang w:eastAsia="ru-RU"/>
        </w:rPr>
        <w:t>ебовльского</w:t>
      </w:r>
      <w:proofErr w:type="spellEnd"/>
      <w:r>
        <w:rPr>
          <w:rFonts w:eastAsia="Times New Roman" w:cstheme="minorHAnsi"/>
          <w:b/>
          <w:sz w:val="28"/>
          <w:szCs w:val="28"/>
          <w:lang w:eastAsia="ru-RU"/>
        </w:rPr>
        <w:t xml:space="preserve">» и в созданном </w:t>
      </w:r>
      <w:proofErr w:type="spellStart"/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>кня-</w:t>
      </w:r>
      <w:r w:rsidRPr="00C22F9D">
        <w:rPr>
          <w:rFonts w:eastAsia="Times New Roman" w:cstheme="minorHAnsi"/>
          <w:b/>
          <w:sz w:val="28"/>
          <w:szCs w:val="28"/>
          <w:lang w:eastAsia="ru-RU"/>
        </w:rPr>
        <w:t>зем</w:t>
      </w:r>
      <w:proofErr w:type="spellEnd"/>
      <w:proofErr w:type="gramEnd"/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«Поучении». </w:t>
      </w:r>
    </w:p>
    <w:p w:rsidR="000417CD" w:rsidRPr="00C22F9D" w:rsidRDefault="000417CD" w:rsidP="00C22F9D">
      <w:pPr>
        <w:spacing w:after="60" w:line="360" w:lineRule="auto"/>
        <w:ind w:right="794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CD" w:rsidRDefault="00C22F9D" w:rsidP="000417CD">
      <w:pPr>
        <w:pStyle w:val="a4"/>
        <w:spacing w:before="144" w:beforeAutospacing="0" w:after="0" w:afterAutospacing="0" w:line="336" w:lineRule="atLeast"/>
        <w:jc w:val="both"/>
        <w:rPr>
          <w:rFonts w:ascii="Lato" w:hAnsi="Lato"/>
          <w:color w:val="000000"/>
        </w:rPr>
      </w:pPr>
      <w:r w:rsidRPr="00C22F9D">
        <w:rPr>
          <w:rFonts w:asciiTheme="minorHAnsi" w:hAnsiTheme="minorHAnsi" w:cstheme="minorHAnsi"/>
          <w:b/>
          <w:sz w:val="28"/>
          <w:szCs w:val="28"/>
        </w:rPr>
        <w:lastRenderedPageBreak/>
        <w:t>Основные философские, политические и этические идеи «Поучения» Владимира Мономаха.</w:t>
      </w:r>
      <w:r w:rsidR="000417CD" w:rsidRPr="000417CD">
        <w:rPr>
          <w:rFonts w:ascii="Lato" w:hAnsi="Lato"/>
          <w:color w:val="000000"/>
        </w:rPr>
        <w:t xml:space="preserve"> </w:t>
      </w:r>
      <w:r w:rsidR="000417CD">
        <w:rPr>
          <w:rFonts w:ascii="Lato" w:hAnsi="Lato"/>
          <w:color w:val="000000"/>
        </w:rPr>
        <w:t>В начале "Поучения" Мономах дает ряд моральных наставлений: не забывайте Бога, гордости не имейте в сердце и уме, старых людей уважайте, "на войну выйдя, не ленитесь, лжи остерегайтесь, напоите и накормите просящего... Убогих не забывайте, подавайте сироте и вдовицу рассудите сами, а не давайте сильным губить человека. Старых чтите, как отца, а молодых, как братьев. Более всего чтите гостя. Не пропустите человека, не приветив его, и доброе слово ему молвите"</w:t>
      </w:r>
      <w:r w:rsidR="000417CD">
        <w:rPr>
          <w:rFonts w:ascii="Lato" w:hAnsi="Lato"/>
          <w:color w:val="000000"/>
          <w:vertAlign w:val="superscript"/>
        </w:rPr>
        <w:t>1</w:t>
      </w:r>
      <w:r w:rsidR="000417CD">
        <w:rPr>
          <w:rFonts w:ascii="Lato" w:hAnsi="Lato"/>
          <w:color w:val="000000"/>
        </w:rPr>
        <w:t>. человека, в котором воплотился идеал князя, пекущегося о славе и чести родной земли.</w:t>
      </w:r>
    </w:p>
    <w:p w:rsidR="000417CD" w:rsidRDefault="000417CD" w:rsidP="000417CD">
      <w:pPr>
        <w:pStyle w:val="a4"/>
        <w:spacing w:before="144" w:beforeAutospacing="0" w:after="0" w:afterAutospacing="0" w:line="336" w:lineRule="atLeast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Перед нами моральные наставления, высокие нравственные заветы, которые имеют непреходящее значение и ценны по сей день. Они заставляют нас задумываться о взаимоотношениях между людьми, совершенствовать свои нравственные принципы. Но "Поучение" – это не только свод бытовых нравственных советов, но и политическое завещание князя. Оно выходит за узкие рамки семейного документа и приобретает большое общественное значение.</w:t>
      </w:r>
    </w:p>
    <w:p w:rsidR="000417CD" w:rsidRDefault="000417CD" w:rsidP="000417CD">
      <w:pPr>
        <w:pStyle w:val="a4"/>
        <w:spacing w:before="144" w:beforeAutospacing="0" w:after="0" w:afterAutospacing="0" w:line="336" w:lineRule="atLeast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Владимир Мономах выдвигает задачи общегосударственного порядка, считая обязанностью князя заботу о благе государства, о его единстве. Междоусобные распри подрывают экономическое и политическое могущество государства, только мир приводит к процветанию страны. Поэтому в обязанность правителя входит сохранение мира.</w:t>
      </w:r>
    </w:p>
    <w:p w:rsidR="00C22F9D" w:rsidRPr="00C22F9D" w:rsidRDefault="00C22F9D" w:rsidP="00C22F9D">
      <w:pPr>
        <w:numPr>
          <w:ilvl w:val="0"/>
          <w:numId w:val="1"/>
        </w:numPr>
        <w:spacing w:after="60" w:line="360" w:lineRule="auto"/>
        <w:ind w:left="868" w:right="794" w:firstLine="0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Представление о личном и государственном в </w:t>
      </w:r>
      <w:proofErr w:type="gramStart"/>
      <w:r w:rsidRPr="00C22F9D">
        <w:rPr>
          <w:rFonts w:eastAsia="Times New Roman" w:cstheme="minorHAnsi"/>
          <w:b/>
          <w:sz w:val="28"/>
          <w:szCs w:val="28"/>
          <w:lang w:eastAsia="ru-RU"/>
        </w:rPr>
        <w:t>сочи- нениях</w:t>
      </w:r>
      <w:proofErr w:type="gramEnd"/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князя Владимира. </w:t>
      </w:r>
      <w:r w:rsidR="000417CD">
        <w:rPr>
          <w:color w:val="000000"/>
          <w:sz w:val="27"/>
          <w:szCs w:val="27"/>
          <w:shd w:val="clear" w:color="auto" w:fill="FFFFCC"/>
        </w:rPr>
        <w:t xml:space="preserve">Все победы Владимир приписывает Богу, ведь только с его помощью они были получены. В конце описания почти каждого похода автор пишет такие слова: "И Бог нам </w:t>
      </w:r>
      <w:proofErr w:type="spellStart"/>
      <w:r w:rsidR="000417CD">
        <w:rPr>
          <w:color w:val="000000"/>
          <w:sz w:val="27"/>
          <w:szCs w:val="27"/>
          <w:shd w:val="clear" w:color="auto" w:fill="FFFFCC"/>
        </w:rPr>
        <w:t>помог</w:t>
      </w:r>
      <w:proofErr w:type="gramStart"/>
      <w:r w:rsidR="000417CD">
        <w:rPr>
          <w:color w:val="000000"/>
          <w:sz w:val="27"/>
          <w:szCs w:val="27"/>
          <w:shd w:val="clear" w:color="auto" w:fill="FFFFCC"/>
        </w:rPr>
        <w:t>".</w:t>
      </w:r>
      <w:r w:rsidRPr="00C22F9D">
        <w:rPr>
          <w:rFonts w:eastAsia="Times New Roman" w:cstheme="minorHAnsi"/>
          <w:b/>
          <w:sz w:val="28"/>
          <w:szCs w:val="28"/>
          <w:lang w:eastAsia="ru-RU"/>
        </w:rPr>
        <w:t>Связь</w:t>
      </w:r>
      <w:proofErr w:type="spellEnd"/>
      <w:proofErr w:type="gramEnd"/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между «Поучением» и «Письмом» к Олегу </w:t>
      </w:r>
      <w:proofErr w:type="spellStart"/>
      <w:r w:rsidRPr="00C22F9D">
        <w:rPr>
          <w:rFonts w:eastAsia="Times New Roman" w:cstheme="minorHAnsi"/>
          <w:b/>
          <w:sz w:val="28"/>
          <w:szCs w:val="28"/>
          <w:lang w:eastAsia="ru-RU"/>
        </w:rPr>
        <w:t>Гориславичу</w:t>
      </w:r>
      <w:proofErr w:type="spellEnd"/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. </w:t>
      </w:r>
    </w:p>
    <w:p w:rsidR="00497887" w:rsidRDefault="00C22F9D" w:rsidP="00C22F9D">
      <w:pPr>
        <w:numPr>
          <w:ilvl w:val="0"/>
          <w:numId w:val="1"/>
        </w:numPr>
        <w:spacing w:after="60" w:line="360" w:lineRule="auto"/>
        <w:ind w:left="868" w:right="794" w:firstLine="0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Новое в жанре «Поучения» Владимира Мономаха (например, в </w:t>
      </w:r>
      <w:proofErr w:type="gramStart"/>
      <w:r w:rsidRPr="00C22F9D">
        <w:rPr>
          <w:rFonts w:eastAsia="Times New Roman" w:cstheme="minorHAnsi"/>
          <w:b/>
          <w:sz w:val="28"/>
          <w:szCs w:val="28"/>
          <w:lang w:eastAsia="ru-RU"/>
        </w:rPr>
        <w:t>срав- нении</w:t>
      </w:r>
      <w:proofErr w:type="gramEnd"/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с «Поучением» Ярослава Мудрого детям 1054 г.).</w:t>
      </w:r>
      <w:r w:rsidR="000417CD" w:rsidRP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В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озникает </w:t>
      </w:r>
      <w:r w:rsidR="000417CD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новая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 психологическая коллизия, причину которой мы узнаем из письма </w:t>
      </w:r>
      <w:r w:rsidR="000417CD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Мономаха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к двоюродному брату,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Муромо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-Рязанскому князю Олегу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Свя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softHyphen/>
        <w:t xml:space="preserve">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тославичу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. Смерть в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муромском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сражении сына </w:t>
      </w:r>
      <w:r w:rsidR="000417CD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Мономаха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 Изяслава, оси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softHyphen/>
        <w:t xml:space="preserve">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ротевшая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молодая невестка — достаточно сильные обстоятельства, чтобы «удачливый сам себе» князь вдруг осознал всю сложность и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противоре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-. 11 Исходя из строгой «иконописности» образа </w:t>
      </w:r>
      <w:r w:rsidR="000417CD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Владимира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="000417CD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Мономаха</w:t>
      </w:r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, отдельные исследователи увидели в словах «векую 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печалуеши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, душе?» лишь образное выражение «</w:t>
      </w:r>
      <w:proofErr w:type="spellStart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>печалования</w:t>
      </w:r>
      <w:proofErr w:type="spellEnd"/>
      <w:r w:rsidR="000417C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о земле Русской</w:t>
      </w:r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Автобиографический характер произведений Владимира Мономаха. Причины, по которым в поучениях и </w:t>
      </w:r>
      <w:r w:rsidRPr="00C22F9D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посланиях автобиографические элементы возникли раньше и были развиты сильнее, чем в других жанрах древнерусской литературы. </w:t>
      </w:r>
      <w:r w:rsidR="00497887"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495925" cy="5133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9D" w:rsidRPr="00C22F9D" w:rsidRDefault="00497887" w:rsidP="00C22F9D">
      <w:pPr>
        <w:numPr>
          <w:ilvl w:val="0"/>
          <w:numId w:val="1"/>
        </w:numPr>
        <w:spacing w:after="60" w:line="360" w:lineRule="auto"/>
        <w:ind w:left="868" w:right="794" w:firstLine="0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2768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F9D"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Принципы отбора, цель и основные приемы использования биографического материала в произведениях Владимира Мономаха. </w:t>
      </w:r>
      <w:r w:rsidRPr="00497887">
        <w:rPr>
          <w:rFonts w:eastAsia="Times New Roman" w:cstheme="minorHAnsi"/>
          <w:sz w:val="28"/>
          <w:szCs w:val="28"/>
          <w:lang w:eastAsia="ru-RU"/>
        </w:rPr>
        <w:t>Конфликт человека</w:t>
      </w:r>
    </w:p>
    <w:p w:rsidR="00C22F9D" w:rsidRPr="00C22F9D" w:rsidRDefault="00C22F9D" w:rsidP="00C22F9D">
      <w:pPr>
        <w:numPr>
          <w:ilvl w:val="0"/>
          <w:numId w:val="1"/>
        </w:numPr>
        <w:spacing w:after="60" w:line="360" w:lineRule="auto"/>
        <w:ind w:left="868" w:right="794" w:firstLine="0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Многогранность и «живость» образа князя в созданных им произведениях. Образ Владимира Мономаха как политический и нравственный идеал эпохи. </w:t>
      </w:r>
    </w:p>
    <w:p w:rsidR="00497887" w:rsidRDefault="00C22F9D" w:rsidP="00C22F9D">
      <w:pPr>
        <w:numPr>
          <w:ilvl w:val="0"/>
          <w:numId w:val="1"/>
        </w:numPr>
        <w:spacing w:after="60" w:line="360" w:lineRule="auto"/>
        <w:ind w:left="868" w:right="794" w:firstLine="0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 w:rsidRPr="00C22F9D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Структура «Поучения» Владимира Мономаха. </w:t>
      </w:r>
      <w:r w:rsidR="00497887">
        <w:rPr>
          <w:rFonts w:ascii="Lato" w:hAnsi="Lato"/>
          <w:color w:val="000000"/>
        </w:rPr>
        <w:t xml:space="preserve">Они входят в состав Лаврентьевской летописи. "Поучение" — это своеобразное собрание сочинений князя, включающее само Поучение, автобиографию и письмо Мономаха князю Олегу </w:t>
      </w:r>
      <w:proofErr w:type="spellStart"/>
      <w:r w:rsidR="00497887">
        <w:rPr>
          <w:rFonts w:ascii="Lato" w:hAnsi="Lato"/>
          <w:color w:val="000000"/>
        </w:rPr>
        <w:t>Святославичу</w:t>
      </w:r>
      <w:proofErr w:type="spellEnd"/>
      <w:r w:rsidR="00497887">
        <w:rPr>
          <w:rFonts w:ascii="Lato" w:hAnsi="Lato"/>
          <w:color w:val="000000"/>
        </w:rPr>
        <w:t xml:space="preserve">. Поучение явилось политическим и нравственным завещанием князя, адресованным не только его сыновьям, но и широкому кругу </w:t>
      </w:r>
      <w:proofErr w:type="spellStart"/>
      <w:proofErr w:type="gramStart"/>
      <w:r w:rsidR="00497887">
        <w:rPr>
          <w:rFonts w:ascii="Lato" w:hAnsi="Lato"/>
          <w:color w:val="000000"/>
        </w:rPr>
        <w:t>читателей.</w:t>
      </w:r>
      <w:r w:rsidRPr="00C22F9D">
        <w:rPr>
          <w:rFonts w:eastAsia="Times New Roman" w:cstheme="minorHAnsi"/>
          <w:b/>
          <w:sz w:val="28"/>
          <w:szCs w:val="28"/>
          <w:lang w:eastAsia="ru-RU"/>
        </w:rPr>
        <w:t>Жанровая</w:t>
      </w:r>
      <w:proofErr w:type="spellEnd"/>
      <w:proofErr w:type="gramEnd"/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 природа и стилевые особенности отдельных частей памятника, типы связей между ними. </w:t>
      </w:r>
    </w:p>
    <w:p w:rsidR="00497887" w:rsidRPr="00497887" w:rsidRDefault="00497887" w:rsidP="0049788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78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Литературный язык отнюдь не один. В этом нетрудно убедиться, перечитав «Поучение» Мономаха: язык этого произведения «трехслоен» — в нем есть и церковнославянская стихия, и деловая, и народно поэтическая (последняя, впрочем, в меньших размерах, чем первые две).</w:t>
      </w:r>
    </w:p>
    <w:p w:rsidR="00497887" w:rsidRPr="00497887" w:rsidRDefault="00497887" w:rsidP="004978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бы мы судили об авторстве этого произведения только по стилю, то могло бы случиться, что мы приписали бы его трем авторам. Но дело в том, что каждая манера, каждый из стилей литературного языка и даже каждый из языков (ибо Мономах пишет и по-церковнославянски, и по-русски) употреблен им, со средневековой точки зрения, вполне уместно, в зависимости от того, касается ли Мономах церковных сюжетов, или своих походов, или душевного состояния своей молодой снохи.</w:t>
      </w:r>
      <w:r w:rsidRPr="0049788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978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Церковнославянский язык постоянно воспринимался как язык высокий, книжный и церковный. Выбор писателем церковнославянского языка или церковнославянских слов и форм для одних случаев, древнерусского — для других, а народнопоэтической речи — для третьих был выбором всегда сознательным и подчинялся определенному литературному этикету. Церковнославянский язык неотделим от церковного содержания, народнопоэтическая речь — от народнопоэтических сюжетов, деловая речь — от деловых.</w:t>
      </w:r>
    </w:p>
    <w:p w:rsidR="00497887" w:rsidRDefault="00497887" w:rsidP="00497887">
      <w:pPr>
        <w:shd w:val="clear" w:color="auto" w:fill="FFFFFF"/>
        <w:spacing w:after="240" w:line="240" w:lineRule="auto"/>
        <w:ind w:firstLine="60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978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978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C22F9D" w:rsidRPr="00C22F9D" w:rsidRDefault="00C22F9D" w:rsidP="00C22F9D">
      <w:pPr>
        <w:numPr>
          <w:ilvl w:val="0"/>
          <w:numId w:val="1"/>
        </w:numPr>
        <w:spacing w:after="60" w:line="360" w:lineRule="auto"/>
        <w:ind w:left="868" w:right="794" w:firstLine="0"/>
        <w:textAlignment w:val="bottom"/>
        <w:rPr>
          <w:rFonts w:eastAsia="Times New Roman" w:cstheme="minorHAnsi"/>
          <w:b/>
          <w:sz w:val="28"/>
          <w:szCs w:val="28"/>
          <w:lang w:eastAsia="ru-RU"/>
        </w:rPr>
      </w:pPr>
      <w:r w:rsidRPr="00C22F9D">
        <w:rPr>
          <w:rFonts w:eastAsia="Times New Roman" w:cstheme="minorHAnsi"/>
          <w:b/>
          <w:sz w:val="28"/>
          <w:szCs w:val="28"/>
          <w:lang w:eastAsia="ru-RU"/>
        </w:rPr>
        <w:t xml:space="preserve">Черты литературной </w:t>
      </w:r>
      <w:proofErr w:type="spellStart"/>
      <w:r w:rsidRPr="00C22F9D">
        <w:rPr>
          <w:rFonts w:eastAsia="Times New Roman" w:cstheme="minorHAnsi"/>
          <w:b/>
          <w:sz w:val="28"/>
          <w:szCs w:val="28"/>
          <w:lang w:eastAsia="ru-RU"/>
        </w:rPr>
        <w:t>этикетности</w:t>
      </w:r>
      <w:proofErr w:type="spellEnd"/>
      <w:r w:rsidRPr="00C22F9D">
        <w:rPr>
          <w:rFonts w:eastAsia="Times New Roman" w:cstheme="minorHAnsi"/>
          <w:b/>
          <w:sz w:val="28"/>
          <w:szCs w:val="28"/>
          <w:lang w:eastAsia="ru-RU"/>
        </w:rPr>
        <w:t>, значение «общих мест» и цитат из Священного Писания в первой части произведения. Художественные средства, которые использует автор для создания эффекта непрерывности движения и многотрудности жизненного пути во второй части «</w:t>
      </w:r>
      <w:proofErr w:type="spellStart"/>
      <w:r w:rsidRPr="00C22F9D">
        <w:rPr>
          <w:rFonts w:eastAsia="Times New Roman" w:cstheme="minorHAnsi"/>
          <w:b/>
          <w:sz w:val="28"/>
          <w:szCs w:val="28"/>
          <w:lang w:eastAsia="ru-RU"/>
        </w:rPr>
        <w:t>Поуче</w:t>
      </w:r>
      <w:proofErr w:type="spellEnd"/>
      <w:r w:rsidRPr="00C22F9D">
        <w:rPr>
          <w:rFonts w:eastAsia="Times New Roman" w:cstheme="minorHAnsi"/>
          <w:b/>
          <w:sz w:val="28"/>
          <w:szCs w:val="28"/>
          <w:lang w:eastAsia="ru-RU"/>
        </w:rPr>
        <w:t>- Библиотека литературы Древней Руси… Т. 1, С. 420, 422 -423. 47</w:t>
      </w:r>
    </w:p>
    <w:p w:rsidR="00C22F9D" w:rsidRPr="00C22F9D" w:rsidRDefault="00C22F9D" w:rsidP="00C22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96" w:rsidRDefault="007D5E96"/>
    <w:sectPr w:rsidR="007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5FF"/>
    <w:multiLevelType w:val="multilevel"/>
    <w:tmpl w:val="3EC8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D"/>
    <w:rsid w:val="000417CD"/>
    <w:rsid w:val="004961D0"/>
    <w:rsid w:val="00497887"/>
    <w:rsid w:val="007D5E96"/>
    <w:rsid w:val="00C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F682"/>
  <w15:chartTrackingRefBased/>
  <w15:docId w15:val="{D309C852-05A4-4C7F-B44E-6A8AFD3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C22F9D"/>
  </w:style>
  <w:style w:type="character" w:styleId="a3">
    <w:name w:val="Hyperlink"/>
    <w:basedOn w:val="a0"/>
    <w:uiPriority w:val="99"/>
    <w:semiHidden/>
    <w:unhideWhenUsed/>
    <w:rsid w:val="00C22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F9D"/>
    <w:rPr>
      <w:b/>
      <w:bCs/>
    </w:rPr>
  </w:style>
  <w:style w:type="paragraph" w:customStyle="1" w:styleId="tab">
    <w:name w:val="tab"/>
    <w:basedOn w:val="a"/>
    <w:rsid w:val="0049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9205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0865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2547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0493">
                              <w:marLeft w:val="45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4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5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202015">
          <w:marLeft w:val="8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Куц</dc:creator>
  <cp:keywords/>
  <dc:description/>
  <cp:lastModifiedBy>София Куц</cp:lastModifiedBy>
  <cp:revision>1</cp:revision>
  <dcterms:created xsi:type="dcterms:W3CDTF">2022-02-23T19:28:00Z</dcterms:created>
  <dcterms:modified xsi:type="dcterms:W3CDTF">2022-02-23T20:02:00Z</dcterms:modified>
</cp:coreProperties>
</file>